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0D69" w14:textId="77777777" w:rsidR="00B714EE" w:rsidRDefault="00B714EE" w:rsidP="00F550AA">
      <w:pPr>
        <w:pStyle w:val="Heading1"/>
        <w:jc w:val="center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APPENDIX “G”</w:t>
      </w:r>
    </w:p>
    <w:p w14:paraId="46C6C054" w14:textId="3B734729" w:rsidR="00F550AA" w:rsidRPr="00A35B5E" w:rsidRDefault="00F550AA" w:rsidP="00F550AA">
      <w:pPr>
        <w:pStyle w:val="Heading1"/>
        <w:jc w:val="center"/>
        <w:rPr>
          <w:rFonts w:ascii="Gill Sans MT" w:hAnsi="Gill Sans MT"/>
          <w:szCs w:val="24"/>
        </w:rPr>
      </w:pPr>
      <w:r w:rsidRPr="00A35B5E">
        <w:rPr>
          <w:rFonts w:ascii="Gill Sans MT" w:hAnsi="Gill Sans MT"/>
          <w:szCs w:val="24"/>
        </w:rPr>
        <w:t>DEFAULT SUPPLIER</w:t>
      </w:r>
      <w:r w:rsidR="00B714EE">
        <w:rPr>
          <w:rFonts w:ascii="Gill Sans MT" w:hAnsi="Gill Sans MT"/>
          <w:szCs w:val="24"/>
        </w:rPr>
        <w:t xml:space="preserve"> - </w:t>
      </w:r>
      <w:r w:rsidRPr="00A35B5E">
        <w:rPr>
          <w:rFonts w:ascii="Gill Sans MT" w:hAnsi="Gill Sans MT"/>
          <w:szCs w:val="24"/>
        </w:rPr>
        <w:t>FEE SCHEDULE</w:t>
      </w:r>
      <w:r w:rsidRPr="00A35B5E">
        <w:rPr>
          <w:rStyle w:val="FootnoteReference"/>
          <w:rFonts w:ascii="Gill Sans MT" w:hAnsi="Gill Sans MT"/>
          <w:szCs w:val="24"/>
          <w:vertAlign w:val="superscript"/>
        </w:rPr>
        <w:footnoteReference w:id="1"/>
      </w:r>
    </w:p>
    <w:p w14:paraId="51CD3167" w14:textId="77777777" w:rsidR="00F550AA" w:rsidRPr="00E22121" w:rsidRDefault="00F550AA" w:rsidP="00F550AA">
      <w:pPr>
        <w:jc w:val="center"/>
        <w:rPr>
          <w:rFonts w:ascii="Gill Sans MT" w:hAnsi="Gill Sans MT"/>
          <w:szCs w:val="24"/>
        </w:rPr>
      </w:pPr>
    </w:p>
    <w:p w14:paraId="47ED22EB" w14:textId="0BCCD4BD" w:rsidR="00F550AA" w:rsidRPr="00E22121" w:rsidRDefault="00F550AA" w:rsidP="00F550AA">
      <w:pPr>
        <w:rPr>
          <w:rFonts w:ascii="Gill Sans MT" w:hAnsi="Gill Sans MT"/>
          <w:szCs w:val="24"/>
        </w:rPr>
      </w:pPr>
      <w:r w:rsidRPr="00E22121">
        <w:rPr>
          <w:rFonts w:ascii="Gill Sans MT" w:hAnsi="Gill Sans MT"/>
          <w:szCs w:val="24"/>
        </w:rPr>
        <w:t xml:space="preserve">As </w:t>
      </w:r>
      <w:r>
        <w:rPr>
          <w:rFonts w:ascii="Gill Sans MT" w:hAnsi="Gill Sans MT"/>
          <w:szCs w:val="24"/>
        </w:rPr>
        <w:t>T</w:t>
      </w:r>
      <w:r w:rsidRPr="00E22121">
        <w:rPr>
          <w:rFonts w:ascii="Gill Sans MT" w:hAnsi="Gill Sans MT"/>
          <w:szCs w:val="24"/>
        </w:rPr>
        <w:t xml:space="preserve">he City of </w:t>
      </w:r>
      <w:r w:rsidRPr="009144A1">
        <w:rPr>
          <w:rFonts w:ascii="Gill Sans MT" w:hAnsi="Gill Sans MT"/>
          <w:szCs w:val="24"/>
        </w:rPr>
        <w:t>Red Deer’s Default Supplier, E</w:t>
      </w:r>
      <w:r>
        <w:rPr>
          <w:rFonts w:ascii="Gill Sans MT" w:hAnsi="Gill Sans MT"/>
          <w:szCs w:val="24"/>
        </w:rPr>
        <w:t>NMAX</w:t>
      </w:r>
      <w:r w:rsidRPr="009144A1">
        <w:rPr>
          <w:rFonts w:ascii="Gill Sans MT" w:hAnsi="Gill Sans MT"/>
          <w:szCs w:val="24"/>
        </w:rPr>
        <w:t xml:space="preserve"> Energy Corporation Default Supplier Fee Schedule for The City of Red Deer as of January 1, 2025, is linked below. The City of Red Deer acknowledges and agrees that E</w:t>
      </w:r>
      <w:r>
        <w:rPr>
          <w:rFonts w:ascii="Gill Sans MT" w:hAnsi="Gill Sans MT"/>
          <w:szCs w:val="24"/>
        </w:rPr>
        <w:t>NMAX</w:t>
      </w:r>
      <w:r w:rsidRPr="009144A1">
        <w:rPr>
          <w:rFonts w:ascii="Gill Sans MT" w:hAnsi="Gill Sans MT"/>
          <w:szCs w:val="24"/>
        </w:rPr>
        <w:t xml:space="preserve">’s Default Supplier Fee Schedule for </w:t>
      </w:r>
      <w:r>
        <w:rPr>
          <w:rFonts w:ascii="Gill Sans MT" w:hAnsi="Gill Sans MT"/>
          <w:szCs w:val="24"/>
        </w:rPr>
        <w:t>T</w:t>
      </w:r>
      <w:r w:rsidRPr="009144A1">
        <w:rPr>
          <w:rFonts w:ascii="Gill Sans MT" w:hAnsi="Gill Sans MT"/>
          <w:szCs w:val="24"/>
        </w:rPr>
        <w:t>he City of Red Deer may be revised by E</w:t>
      </w:r>
      <w:r>
        <w:rPr>
          <w:rFonts w:ascii="Gill Sans MT" w:hAnsi="Gill Sans MT"/>
          <w:szCs w:val="24"/>
        </w:rPr>
        <w:t>NMAX</w:t>
      </w:r>
      <w:r w:rsidRPr="009144A1">
        <w:rPr>
          <w:rFonts w:ascii="Gill Sans MT" w:hAnsi="Gill Sans MT"/>
          <w:szCs w:val="24"/>
        </w:rPr>
        <w:t xml:space="preserve"> from time to time in accordance with the </w:t>
      </w:r>
      <w:r w:rsidRPr="00E94C62">
        <w:rPr>
          <w:rFonts w:ascii="Gill Sans MT" w:hAnsi="Gill Sans MT"/>
          <w:i/>
          <w:iCs/>
          <w:szCs w:val="24"/>
        </w:rPr>
        <w:t>Electric Utilities Act</w:t>
      </w:r>
      <w:r w:rsidRPr="009144A1">
        <w:rPr>
          <w:rFonts w:ascii="Gill Sans MT" w:hAnsi="Gill Sans MT"/>
          <w:szCs w:val="24"/>
        </w:rPr>
        <w:t xml:space="preserve"> (Alberta) and the Regulations thereunder</w:t>
      </w:r>
      <w:r w:rsidRPr="00E22121">
        <w:rPr>
          <w:rFonts w:ascii="Gill Sans MT" w:hAnsi="Gill Sans MT"/>
          <w:szCs w:val="24"/>
        </w:rPr>
        <w:t xml:space="preserve">. </w:t>
      </w:r>
    </w:p>
    <w:p w14:paraId="6F617DCA" w14:textId="77777777" w:rsidR="00F550AA" w:rsidRDefault="00F550AA" w:rsidP="00F550AA">
      <w:pPr>
        <w:pStyle w:val="TextJustified"/>
      </w:pPr>
    </w:p>
    <w:p w14:paraId="0A23A838" w14:textId="77777777" w:rsidR="00F550AA" w:rsidRPr="006F711D" w:rsidRDefault="00F550AA" w:rsidP="00F550AA">
      <w:pPr>
        <w:pStyle w:val="TextJustified"/>
      </w:pPr>
      <w:hyperlink r:id="rId7" w:history="1">
        <w:r w:rsidRPr="006F711D">
          <w:rPr>
            <w:rStyle w:val="Hyperlink"/>
          </w:rPr>
          <w:t>https://assets.enmax.com/api/public/content/dcb72b03e2b04ee7a0a002f36916fa96?v=9f58db64</w:t>
        </w:r>
      </w:hyperlink>
    </w:p>
    <w:p w14:paraId="721FC58D" w14:textId="14F92D4F" w:rsidR="005A2EBB" w:rsidRPr="002B4D08" w:rsidRDefault="005A2EBB" w:rsidP="002B4D08">
      <w:pPr>
        <w:pStyle w:val="TextJustified"/>
      </w:pPr>
    </w:p>
    <w:sectPr w:rsidR="005A2EBB" w:rsidRPr="002B4D08" w:rsidSect="002B4D08">
      <w:headerReference w:type="default" r:id="rId8"/>
      <w:footerReference w:type="default" r:id="rId9"/>
      <w:footnotePr>
        <w:numRestart w:val="eachPage"/>
      </w:footnotePr>
      <w:pgSz w:w="12240" w:h="15840" w:code="1"/>
      <w:pgMar w:top="1440" w:right="1440" w:bottom="1440" w:left="1440" w:header="144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ECD12" w14:textId="77777777" w:rsidR="00EE66E4" w:rsidRDefault="00EE66E4">
      <w:r>
        <w:separator/>
      </w:r>
    </w:p>
  </w:endnote>
  <w:endnote w:type="continuationSeparator" w:id="0">
    <w:p w14:paraId="2B23EAAD" w14:textId="77777777" w:rsidR="00EE66E4" w:rsidRDefault="00EE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709F" w14:textId="3AF3F2B4" w:rsidR="006F2FE7" w:rsidRPr="00D06A90" w:rsidRDefault="006F2FE7" w:rsidP="002B4D0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Gill Sans MT" w:hAnsi="Gill Sans MT"/>
        <w:sz w:val="22"/>
        <w:szCs w:val="22"/>
      </w:rPr>
    </w:pPr>
    <w:r w:rsidRPr="00D06A90">
      <w:rPr>
        <w:rFonts w:ascii="Gill Sans MT" w:hAnsi="Gill Sans MT"/>
        <w:sz w:val="22"/>
        <w:szCs w:val="22"/>
      </w:rPr>
      <w:t>The City of Red Deer</w:t>
    </w:r>
    <w:r w:rsidRPr="00D06A90">
      <w:rPr>
        <w:rFonts w:ascii="Gill Sans MT" w:hAnsi="Gill Sans MT"/>
        <w:sz w:val="22"/>
        <w:szCs w:val="22"/>
      </w:rPr>
      <w:tab/>
      <w:t xml:space="preserve">Default Supplier-Fee Schedule </w:t>
    </w:r>
    <w:r w:rsidRPr="00D06A90">
      <w:rPr>
        <w:rFonts w:ascii="Gill Sans MT" w:hAnsi="Gill Sans MT"/>
        <w:sz w:val="22"/>
        <w:szCs w:val="22"/>
      </w:rPr>
      <w:tab/>
      <w:t xml:space="preserve">Effective </w:t>
    </w:r>
    <w:r w:rsidR="00F550AA">
      <w:rPr>
        <w:rFonts w:ascii="Gill Sans MT" w:hAnsi="Gill Sans MT"/>
        <w:sz w:val="22"/>
        <w:szCs w:val="22"/>
      </w:rPr>
      <w:t>January 27,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6DEE" w14:textId="77777777" w:rsidR="00EE66E4" w:rsidRDefault="00EE66E4">
      <w:r>
        <w:separator/>
      </w:r>
    </w:p>
  </w:footnote>
  <w:footnote w:type="continuationSeparator" w:id="0">
    <w:p w14:paraId="7A9828FB" w14:textId="77777777" w:rsidR="00EE66E4" w:rsidRDefault="00EE66E4">
      <w:r>
        <w:continuationSeparator/>
      </w:r>
    </w:p>
  </w:footnote>
  <w:footnote w:id="1">
    <w:p w14:paraId="364BF5AF" w14:textId="512C87F6" w:rsidR="00F550AA" w:rsidRPr="006052CD" w:rsidRDefault="00F550AA" w:rsidP="00F550AA">
      <w:pPr>
        <w:pStyle w:val="FootnoteText"/>
        <w:rPr>
          <w:rFonts w:ascii="Gill Sans MT" w:hAnsi="Gill Sans MT"/>
          <w:sz w:val="22"/>
          <w:szCs w:val="22"/>
        </w:rPr>
      </w:pPr>
      <w:r w:rsidRPr="006052CD">
        <w:rPr>
          <w:rStyle w:val="FootnoteReference"/>
          <w:rFonts w:ascii="Gill Sans MT" w:hAnsi="Gill Sans MT"/>
          <w:sz w:val="22"/>
          <w:szCs w:val="22"/>
          <w:vertAlign w:val="superscript"/>
        </w:rPr>
        <w:footnoteRef/>
      </w:r>
      <w:r w:rsidRPr="006052CD">
        <w:rPr>
          <w:rFonts w:ascii="Gill Sans MT" w:hAnsi="Gill Sans MT"/>
          <w:sz w:val="22"/>
          <w:szCs w:val="22"/>
          <w:vertAlign w:val="superscript"/>
        </w:rPr>
        <w:t xml:space="preserve"> </w:t>
      </w:r>
      <w:r w:rsidRPr="006052CD">
        <w:rPr>
          <w:rFonts w:ascii="Gill Sans MT" w:hAnsi="Gill Sans MT" w:cs="Arial"/>
          <w:sz w:val="22"/>
          <w:szCs w:val="22"/>
        </w:rPr>
        <w:t>3273/B-2012, 3273/B-2018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827A" w14:textId="77777777" w:rsidR="006F2FE7" w:rsidRPr="00D06A90" w:rsidRDefault="006F2FE7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b/>
        <w:i/>
        <w:szCs w:val="24"/>
      </w:rPr>
    </w:pPr>
    <w:r w:rsidRPr="00D06A90">
      <w:rPr>
        <w:rFonts w:ascii="Gill Sans MT" w:hAnsi="Gill Sans MT"/>
        <w:b/>
        <w:i/>
        <w:szCs w:val="24"/>
      </w:rPr>
      <w:t>APPENDIX “G”</w:t>
    </w:r>
  </w:p>
  <w:p w14:paraId="1ADF599D" w14:textId="77777777" w:rsidR="006F2FE7" w:rsidRPr="00D06A90" w:rsidRDefault="006F2FE7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szCs w:val="24"/>
      </w:rPr>
    </w:pPr>
    <w:r w:rsidRPr="00D06A90">
      <w:rPr>
        <w:rFonts w:ascii="Gill Sans MT" w:hAnsi="Gill Sans MT"/>
        <w:szCs w:val="24"/>
      </w:rPr>
      <w:t>Bylaw 3273/B-2012</w:t>
    </w:r>
  </w:p>
  <w:p w14:paraId="057DA6F8" w14:textId="77777777" w:rsidR="006F2FE7" w:rsidRPr="00D06A90" w:rsidRDefault="006F2FE7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snapToGrid w:val="0"/>
        <w:szCs w:val="24"/>
      </w:rPr>
    </w:pPr>
    <w:r w:rsidRPr="00D06A90">
      <w:rPr>
        <w:rFonts w:ascii="Gill Sans MT" w:hAnsi="Gill Sans MT"/>
        <w:snapToGrid w:val="0"/>
        <w:szCs w:val="24"/>
      </w:rPr>
      <w:t xml:space="preserve">Page </w:t>
    </w:r>
    <w:r w:rsidRPr="00D06A90">
      <w:rPr>
        <w:rFonts w:ascii="Gill Sans MT" w:hAnsi="Gill Sans MT"/>
        <w:snapToGrid w:val="0"/>
        <w:szCs w:val="24"/>
      </w:rPr>
      <w:fldChar w:fldCharType="begin"/>
    </w:r>
    <w:r w:rsidRPr="00D06A90">
      <w:rPr>
        <w:rFonts w:ascii="Gill Sans MT" w:hAnsi="Gill Sans MT"/>
        <w:snapToGrid w:val="0"/>
        <w:szCs w:val="24"/>
      </w:rPr>
      <w:instrText xml:space="preserve"> PAGE </w:instrText>
    </w:r>
    <w:r w:rsidRPr="00D06A90">
      <w:rPr>
        <w:rFonts w:ascii="Gill Sans MT" w:hAnsi="Gill Sans MT"/>
        <w:snapToGrid w:val="0"/>
        <w:szCs w:val="24"/>
      </w:rPr>
      <w:fldChar w:fldCharType="separate"/>
    </w:r>
    <w:r w:rsidR="00F466A7" w:rsidRPr="00D06A90">
      <w:rPr>
        <w:rFonts w:ascii="Gill Sans MT" w:hAnsi="Gill Sans MT"/>
        <w:noProof/>
        <w:snapToGrid w:val="0"/>
        <w:szCs w:val="24"/>
      </w:rPr>
      <w:t>1</w:t>
    </w:r>
    <w:r w:rsidRPr="00D06A90">
      <w:rPr>
        <w:rFonts w:ascii="Gill Sans MT" w:hAnsi="Gill Sans MT"/>
        <w:snapToGrid w:val="0"/>
        <w:szCs w:val="24"/>
      </w:rPr>
      <w:fldChar w:fldCharType="end"/>
    </w:r>
    <w:r w:rsidRPr="00D06A90">
      <w:rPr>
        <w:rFonts w:ascii="Gill Sans MT" w:hAnsi="Gill Sans MT"/>
        <w:snapToGrid w:val="0"/>
        <w:szCs w:val="24"/>
      </w:rPr>
      <w:t xml:space="preserve"> of 1</w:t>
    </w:r>
  </w:p>
  <w:p w14:paraId="407B1DC8" w14:textId="77777777" w:rsidR="006F2FE7" w:rsidRDefault="006F2FE7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D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967B3"/>
    <w:multiLevelType w:val="singleLevel"/>
    <w:tmpl w:val="FFB677B6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D78622E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DE734E"/>
    <w:multiLevelType w:val="singleLevel"/>
    <w:tmpl w:val="76E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C15F72"/>
    <w:multiLevelType w:val="singleLevel"/>
    <w:tmpl w:val="E1F8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6C63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2C2650"/>
    <w:multiLevelType w:val="singleLevel"/>
    <w:tmpl w:val="F40AB4DC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C834FCA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9C12D8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E62E95"/>
    <w:multiLevelType w:val="singleLevel"/>
    <w:tmpl w:val="A9E4418A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2667AEB"/>
    <w:multiLevelType w:val="singleLevel"/>
    <w:tmpl w:val="70ACF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214"/>
    <w:multiLevelType w:val="singleLevel"/>
    <w:tmpl w:val="B42C9F76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12" w15:restartNumberingAfterBreak="0">
    <w:nsid w:val="5476759B"/>
    <w:multiLevelType w:val="singleLevel"/>
    <w:tmpl w:val="3CB67906"/>
    <w:lvl w:ilvl="0">
      <w:start w:val="1"/>
      <w:numFmt w:val="decimal"/>
      <w:lvlText w:val="(%1)"/>
      <w:legacy w:legacy="1" w:legacySpace="0" w:legacyIndent="1080"/>
      <w:lvlJc w:val="left"/>
      <w:pPr>
        <w:ind w:left="1800" w:hanging="1080"/>
      </w:pPr>
    </w:lvl>
  </w:abstractNum>
  <w:abstractNum w:abstractNumId="13" w15:restartNumberingAfterBreak="0">
    <w:nsid w:val="59EE3765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A66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C92A07"/>
    <w:multiLevelType w:val="singleLevel"/>
    <w:tmpl w:val="0B76EC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67A32D1A"/>
    <w:multiLevelType w:val="singleLevel"/>
    <w:tmpl w:val="F40AB4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73357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1D092D"/>
    <w:multiLevelType w:val="singleLevel"/>
    <w:tmpl w:val="77DA7DC4"/>
    <w:lvl w:ilvl="0">
      <w:start w:val="1"/>
      <w:numFmt w:val="decimal"/>
      <w:lvlText w:val="(%1)"/>
      <w:legacy w:legacy="1" w:legacySpace="0" w:legacyIndent="375"/>
      <w:lvlJc w:val="left"/>
      <w:pPr>
        <w:ind w:left="375" w:hanging="375"/>
      </w:pPr>
    </w:lvl>
  </w:abstractNum>
  <w:num w:numId="1" w16cid:durableId="1350832016">
    <w:abstractNumId w:val="16"/>
  </w:num>
  <w:num w:numId="2" w16cid:durableId="673192176">
    <w:abstractNumId w:val="18"/>
  </w:num>
  <w:num w:numId="3" w16cid:durableId="1884711903">
    <w:abstractNumId w:val="6"/>
  </w:num>
  <w:num w:numId="4" w16cid:durableId="246378596">
    <w:abstractNumId w:val="12"/>
  </w:num>
  <w:num w:numId="5" w16cid:durableId="2081443085">
    <w:abstractNumId w:val="8"/>
  </w:num>
  <w:num w:numId="6" w16cid:durableId="661741272">
    <w:abstractNumId w:val="15"/>
  </w:num>
  <w:num w:numId="7" w16cid:durableId="1324163090">
    <w:abstractNumId w:val="1"/>
  </w:num>
  <w:num w:numId="8" w16cid:durableId="175462121">
    <w:abstractNumId w:val="5"/>
  </w:num>
  <w:num w:numId="9" w16cid:durableId="1925064025">
    <w:abstractNumId w:val="3"/>
  </w:num>
  <w:num w:numId="10" w16cid:durableId="280722024">
    <w:abstractNumId w:val="0"/>
  </w:num>
  <w:num w:numId="11" w16cid:durableId="854807711">
    <w:abstractNumId w:val="14"/>
  </w:num>
  <w:num w:numId="12" w16cid:durableId="341855358">
    <w:abstractNumId w:val="17"/>
  </w:num>
  <w:num w:numId="13" w16cid:durableId="1227758730">
    <w:abstractNumId w:val="9"/>
  </w:num>
  <w:num w:numId="14" w16cid:durableId="508444655">
    <w:abstractNumId w:val="10"/>
  </w:num>
  <w:num w:numId="15" w16cid:durableId="1825658224">
    <w:abstractNumId w:val="4"/>
  </w:num>
  <w:num w:numId="16" w16cid:durableId="1786070936">
    <w:abstractNumId w:val="11"/>
  </w:num>
  <w:num w:numId="17" w16cid:durableId="1158880185">
    <w:abstractNumId w:val="7"/>
  </w:num>
  <w:num w:numId="18" w16cid:durableId="1153259416">
    <w:abstractNumId w:val="2"/>
  </w:num>
  <w:num w:numId="19" w16cid:durableId="554465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B"/>
    <w:rsid w:val="000404F8"/>
    <w:rsid w:val="00105DF8"/>
    <w:rsid w:val="00146910"/>
    <w:rsid w:val="001E0DC6"/>
    <w:rsid w:val="001F1414"/>
    <w:rsid w:val="002076F9"/>
    <w:rsid w:val="002722CF"/>
    <w:rsid w:val="002A55D1"/>
    <w:rsid w:val="002B4D08"/>
    <w:rsid w:val="003339EA"/>
    <w:rsid w:val="00373EE4"/>
    <w:rsid w:val="003D1D79"/>
    <w:rsid w:val="004E1CE3"/>
    <w:rsid w:val="00506A02"/>
    <w:rsid w:val="00527D18"/>
    <w:rsid w:val="0055526E"/>
    <w:rsid w:val="005A2EBB"/>
    <w:rsid w:val="006409D8"/>
    <w:rsid w:val="006C1C98"/>
    <w:rsid w:val="006F2FE7"/>
    <w:rsid w:val="00705E7A"/>
    <w:rsid w:val="007B6316"/>
    <w:rsid w:val="007D1F15"/>
    <w:rsid w:val="00807B0B"/>
    <w:rsid w:val="00822F09"/>
    <w:rsid w:val="0092222F"/>
    <w:rsid w:val="00970402"/>
    <w:rsid w:val="00A26AF3"/>
    <w:rsid w:val="00A812BF"/>
    <w:rsid w:val="00B100F7"/>
    <w:rsid w:val="00B126DF"/>
    <w:rsid w:val="00B714EE"/>
    <w:rsid w:val="00BC7DD7"/>
    <w:rsid w:val="00C03540"/>
    <w:rsid w:val="00C81A5F"/>
    <w:rsid w:val="00CC43C6"/>
    <w:rsid w:val="00D06A90"/>
    <w:rsid w:val="00D53FEC"/>
    <w:rsid w:val="00D6102A"/>
    <w:rsid w:val="00D6140F"/>
    <w:rsid w:val="00DB10DC"/>
    <w:rsid w:val="00E33BAF"/>
    <w:rsid w:val="00E54D06"/>
    <w:rsid w:val="00E74A87"/>
    <w:rsid w:val="00E77353"/>
    <w:rsid w:val="00E77B06"/>
    <w:rsid w:val="00E930C0"/>
    <w:rsid w:val="00E94C62"/>
    <w:rsid w:val="00EC18E7"/>
    <w:rsid w:val="00EE4FF5"/>
    <w:rsid w:val="00EE60BD"/>
    <w:rsid w:val="00EE66E4"/>
    <w:rsid w:val="00F466A7"/>
    <w:rsid w:val="00F550AA"/>
    <w:rsid w:val="00F86397"/>
    <w:rsid w:val="00F974F3"/>
    <w:rsid w:val="00FC2062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E043A"/>
  <w15:chartTrackingRefBased/>
  <w15:docId w15:val="{A87506E7-6CED-4256-B4A9-6E5BF71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Helvetica" w:hAnsi="Helvetic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" w:hAnsi="Palatino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ind w:right="720"/>
      <w:outlineLvl w:val="3"/>
    </w:pPr>
    <w:rPr>
      <w:rFonts w:ascii="Arial" w:hAnsi="Arial"/>
      <w:lang w:val="en-GB"/>
    </w:rPr>
  </w:style>
  <w:style w:type="paragraph" w:styleId="Heading5">
    <w:name w:val="heading 5"/>
    <w:basedOn w:val="Normal"/>
    <w:next w:val="Normal"/>
    <w:qFormat/>
    <w:pPr>
      <w:keepNext/>
      <w:ind w:left="1440" w:hanging="1440"/>
      <w:outlineLvl w:val="4"/>
    </w:pPr>
    <w:rPr>
      <w:rFonts w:ascii="Times New Roman" w:hAnsi="Times New Roman"/>
      <w:b/>
      <w:lang w:val="en-GB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qFormat/>
    <w:pPr>
      <w:keepNext/>
      <w:ind w:left="1620" w:hanging="1620"/>
      <w:outlineLvl w:val="6"/>
    </w:pPr>
    <w:rPr>
      <w:rFonts w:ascii="Times New Roman" w:hAnsi="Times New Roman"/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2"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ouble5">
    <w:name w:val="Double 5"/>
    <w:basedOn w:val="Normal"/>
    <w:pPr>
      <w:spacing w:line="360" w:lineRule="atLeast"/>
      <w:ind w:left="720" w:right="1440"/>
    </w:p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jc w:val="left"/>
    </w:pPr>
    <w:rPr>
      <w:sz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480"/>
    </w:pPr>
  </w:style>
  <w:style w:type="paragraph" w:styleId="BodyText2">
    <w:name w:val="Body Text 2"/>
    <w:basedOn w:val="Normal"/>
    <w:pPr>
      <w:spacing w:after="120"/>
      <w:ind w:left="630"/>
    </w:pPr>
    <w:rPr>
      <w:rFonts w:ascii="Palatino" w:hAnsi="Palatino"/>
    </w:rPr>
  </w:style>
  <w:style w:type="paragraph" w:styleId="BlockText">
    <w:name w:val="Block Text"/>
    <w:basedOn w:val="Normal"/>
    <w:pPr>
      <w:ind w:left="720" w:right="720"/>
    </w:pPr>
    <w:rPr>
      <w:rFonts w:ascii="Palatino" w:hAnsi="Palatino"/>
      <w:sz w:val="20"/>
    </w:rPr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  <w:sz w:val="22"/>
      <w:lang w:val="en-GB"/>
    </w:rPr>
  </w:style>
  <w:style w:type="paragraph" w:styleId="BodyTextIndent2">
    <w:name w:val="Body Text Indent 2"/>
    <w:basedOn w:val="Normal"/>
    <w:pPr>
      <w:ind w:left="720" w:hanging="720"/>
    </w:pPr>
    <w:rPr>
      <w:rFonts w:ascii="Times New Roman" w:hAnsi="Times New Roman"/>
      <w:sz w:val="22"/>
      <w:lang w:val="en-GB"/>
    </w:rPr>
  </w:style>
  <w:style w:type="paragraph" w:styleId="BodyTextIndent3">
    <w:name w:val="Body Text Indent 3"/>
    <w:basedOn w:val="Normal"/>
    <w:pPr>
      <w:ind w:left="1620" w:hanging="1620"/>
    </w:pPr>
    <w:rPr>
      <w:rFonts w:ascii="Times New Roman" w:hAnsi="Times New Roman"/>
      <w:sz w:val="22"/>
      <w:lang w:val="en-GB"/>
    </w:rPr>
  </w:style>
  <w:style w:type="paragraph" w:styleId="BodyText3">
    <w:name w:val="Body Text 3"/>
    <w:basedOn w:val="Normal"/>
    <w:pPr>
      <w:jc w:val="left"/>
    </w:pPr>
    <w:rPr>
      <w:rFonts w:ascii="Arial" w:hAnsi="Arial"/>
      <w:color w:val="FF0000"/>
      <w:sz w:val="22"/>
    </w:rPr>
  </w:style>
  <w:style w:type="paragraph" w:customStyle="1" w:styleId="TextJustified">
    <w:name w:val="Text Justified"/>
    <w:basedOn w:val="Normal"/>
    <w:link w:val="TextJustifiedChar"/>
    <w:rsid w:val="00506A02"/>
    <w:pPr>
      <w:spacing w:after="240"/>
    </w:pPr>
    <w:rPr>
      <w:rFonts w:ascii="Calibri" w:hAnsi="Calibri"/>
      <w:sz w:val="22"/>
      <w:szCs w:val="24"/>
      <w:lang w:val="en-CA"/>
    </w:rPr>
  </w:style>
  <w:style w:type="character" w:customStyle="1" w:styleId="TextJustifiedChar">
    <w:name w:val="Text Justified Char"/>
    <w:link w:val="TextJustified"/>
    <w:locked/>
    <w:rsid w:val="00506A02"/>
    <w:rPr>
      <w:rFonts w:ascii="Calibri" w:hAnsi="Calibri"/>
      <w:sz w:val="22"/>
      <w:szCs w:val="24"/>
      <w:lang w:val="en-CA" w:eastAsia="en-US" w:bidi="ar-SA"/>
    </w:rPr>
  </w:style>
  <w:style w:type="paragraph" w:customStyle="1" w:styleId="TextCenter">
    <w:name w:val="Text Center"/>
    <w:basedOn w:val="Normal"/>
    <w:rsid w:val="00506A02"/>
    <w:pPr>
      <w:spacing w:after="240"/>
      <w:jc w:val="center"/>
    </w:pPr>
    <w:rPr>
      <w:rFonts w:ascii="Calibri" w:hAnsi="Calibri"/>
      <w:sz w:val="22"/>
      <w:szCs w:val="24"/>
      <w:lang w:val="en-CA"/>
    </w:rPr>
  </w:style>
  <w:style w:type="character" w:styleId="Hyperlink">
    <w:name w:val="Hyperlink"/>
    <w:rsid w:val="00506A02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F466A7"/>
    <w:rPr>
      <w:rFonts w:ascii="Helvetica" w:hAnsi="Helvetica"/>
      <w:b/>
      <w:sz w:val="24"/>
      <w:lang w:val="en-GB" w:eastAsia="en-US"/>
    </w:rPr>
  </w:style>
  <w:style w:type="character" w:customStyle="1" w:styleId="FootnoteTextChar">
    <w:name w:val="Footnote Text Char"/>
    <w:link w:val="FootnoteText"/>
    <w:semiHidden/>
    <w:rsid w:val="00F466A7"/>
    <w:rPr>
      <w:rFonts w:ascii="Helvetica" w:hAnsi="Helvetica"/>
      <w:lang w:val="en-US" w:eastAsia="en-US"/>
    </w:rPr>
  </w:style>
  <w:style w:type="paragraph" w:styleId="Revision">
    <w:name w:val="Revision"/>
    <w:hidden/>
    <w:uiPriority w:val="99"/>
    <w:semiHidden/>
    <w:rsid w:val="00F550AA"/>
    <w:rPr>
      <w:rFonts w:ascii="Helvetica" w:hAnsi="Helvetica"/>
      <w:sz w:val="24"/>
      <w:lang w:val="en-US" w:eastAsia="en-US"/>
    </w:rPr>
  </w:style>
  <w:style w:type="character" w:styleId="CommentReference">
    <w:name w:val="annotation reference"/>
    <w:basedOn w:val="DefaultParagraphFont"/>
    <w:rsid w:val="00EC18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18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18E7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1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18E7"/>
    <w:rPr>
      <w:rFonts w:ascii="Helvetica" w:hAnsi="Helvetica"/>
      <w:b/>
      <w:bCs/>
      <w:lang w:val="en-US" w:eastAsia="en-US"/>
    </w:rPr>
  </w:style>
  <w:style w:type="character" w:styleId="FollowedHyperlink">
    <w:name w:val="FollowedHyperlink"/>
    <w:basedOn w:val="DefaultParagraphFont"/>
    <w:rsid w:val="00EC18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protect2.fireeye.com%2Fv1%2Furl%3Fk%3D31323334-501d2dca-313218aa-454455534531-79e793ea7562585d%26q%3D1%26e%3D17fa57e3-a152-43ab-a47c-414fab6e67c3%26u%3Dhttps%253A%252F%252Fassets.enmax.com%252Fapi%252Fpublic%252Fcontent%252Fdcb72b03e2b04ee7a0a002f36916fa96%253Fv%253D9f58db64&amp;data=05%7C02%7CDean.Walker%40reddeer.ca%7C4b4008dcedcb4680e96008dd19fbda3d%7C2273b46be4e943a5bcd181192e4b6515%7C0%7C0%7C638695291683587397%7CUnknown%7CTWFpbGZsb3d8eyJFbXB0eU1hcGkiOnRydWUsIlYiOiIwLjAuMDAwMCIsIlAiOiJXaW4zMiIsIkFOIjoiTWFpbCIsIldUIjoyfQ%3D%3D%7C0%7C%7C%7C&amp;sdata=%2FzfcWoPIrMAH1HOFn4qDorMYsDtGa%2BFGdLiQNMrgF7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Utility Bylaw 3273/2000 Schedule 'G' Default Supplier Fee</vt:lpstr>
    </vt:vector>
  </TitlesOfParts>
  <Company>City of Red Deer</Company>
  <LinksUpToDate>false</LinksUpToDate>
  <CharactersWithSpaces>1237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https://www.enmax.com/ForYourBusinessSite/Documents/2010_DSR_Fee_schedule.pdf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Utility Bylaw 3273/2000 Schedule 'G' Default Supplier Fee</dc:title>
  <dc:subject>Electric Utility Bylaw Schedule 'G' Default Supplier Fee</dc:subject>
  <dc:creator>LGS</dc:creator>
  <cp:keywords/>
  <dc:description/>
  <cp:lastModifiedBy>Kayla Paniec</cp:lastModifiedBy>
  <cp:revision>2</cp:revision>
  <cp:lastPrinted>2006-04-12T19:25:00Z</cp:lastPrinted>
  <dcterms:created xsi:type="dcterms:W3CDTF">2025-01-20T16:58:00Z</dcterms:created>
  <dcterms:modified xsi:type="dcterms:W3CDTF">2025-01-20T16:58:00Z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20250120095734962</vt:lpwstr>
  </property>
</Properties>
</file>